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0" w:firstLineChars="0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附件二</w:t>
      </w:r>
    </w:p>
    <w:p>
      <w:pPr>
        <w:spacing w:line="360" w:lineRule="auto"/>
        <w:jc w:val="center"/>
        <w:rPr>
          <w:rFonts w:hint="eastAsia" w:asciiTheme="minorEastAsia" w:hAnsiTheme="minorEastAsia" w:eastAsiaTheme="minorEastAsia" w:cstheme="minorEastAsia"/>
          <w:b/>
          <w:bCs/>
          <w:sz w:val="44"/>
          <w:szCs w:val="44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</w:rPr>
        <w:t>脱敏治疗科室数字化建设项目立项申请表</w:t>
      </w:r>
      <w:bookmarkEnd w:id="0"/>
    </w:p>
    <w:tbl>
      <w:tblPr>
        <w:tblStyle w:val="5"/>
        <w:tblW w:w="86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426"/>
        <w:gridCol w:w="1984"/>
        <w:gridCol w:w="284"/>
        <w:gridCol w:w="1417"/>
        <w:gridCol w:w="308"/>
        <w:gridCol w:w="1251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</w:trPr>
        <w:tc>
          <w:tcPr>
            <w:tcW w:w="2122" w:type="dxa"/>
            <w:gridSpan w:val="2"/>
          </w:tcPr>
          <w:p>
            <w:pPr>
              <w:spacing w:line="360" w:lineRule="auto"/>
              <w:jc w:val="center"/>
              <w:rPr>
                <w:rFonts w:ascii="仿宋" w:hAnsi="仿宋" w:eastAsia="仿宋" w:cs="微软雅黑"/>
                <w:b/>
                <w:bCs/>
                <w:sz w:val="24"/>
              </w:rPr>
            </w:pPr>
            <w:r>
              <w:rPr>
                <w:rFonts w:hint="eastAsia" w:ascii="仿宋" w:hAnsi="仿宋" w:eastAsia="仿宋" w:cs="微软雅黑"/>
                <w:b/>
                <w:bCs/>
                <w:sz w:val="24"/>
              </w:rPr>
              <w:t>医院名称</w:t>
            </w:r>
          </w:p>
        </w:tc>
        <w:tc>
          <w:tcPr>
            <w:tcW w:w="3685" w:type="dxa"/>
            <w:gridSpan w:val="3"/>
          </w:tcPr>
          <w:p>
            <w:pPr>
              <w:spacing w:line="360" w:lineRule="auto"/>
              <w:jc w:val="center"/>
              <w:rPr>
                <w:rFonts w:ascii="仿宋" w:hAnsi="仿宋" w:eastAsia="仿宋" w:cs="微软雅黑"/>
                <w:b/>
                <w:bCs/>
                <w:sz w:val="24"/>
              </w:rPr>
            </w:pPr>
          </w:p>
        </w:tc>
        <w:tc>
          <w:tcPr>
            <w:tcW w:w="1559" w:type="dxa"/>
            <w:gridSpan w:val="2"/>
          </w:tcPr>
          <w:p>
            <w:pPr>
              <w:spacing w:line="360" w:lineRule="auto"/>
              <w:jc w:val="center"/>
              <w:rPr>
                <w:rFonts w:ascii="仿宋" w:hAnsi="仿宋" w:eastAsia="仿宋" w:cs="微软雅黑"/>
                <w:b/>
                <w:bCs/>
                <w:sz w:val="24"/>
              </w:rPr>
            </w:pPr>
            <w:r>
              <w:rPr>
                <w:rFonts w:hint="eastAsia" w:ascii="仿宋" w:hAnsi="仿宋" w:eastAsia="仿宋" w:cs="微软雅黑"/>
                <w:b/>
                <w:bCs/>
                <w:sz w:val="24"/>
              </w:rPr>
              <w:t>项目期数</w:t>
            </w:r>
          </w:p>
        </w:tc>
        <w:tc>
          <w:tcPr>
            <w:tcW w:w="1276" w:type="dxa"/>
          </w:tcPr>
          <w:p>
            <w:pPr>
              <w:spacing w:line="360" w:lineRule="auto"/>
              <w:jc w:val="center"/>
              <w:rPr>
                <w:rFonts w:ascii="仿宋" w:hAnsi="仿宋" w:eastAsia="仿宋" w:cs="微软雅黑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微软雅黑"/>
                <w:b w:val="0"/>
                <w:bCs w:val="0"/>
                <w:sz w:val="24"/>
              </w:rPr>
              <w:t>第二期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</w:trPr>
        <w:tc>
          <w:tcPr>
            <w:tcW w:w="2122" w:type="dxa"/>
            <w:gridSpan w:val="2"/>
          </w:tcPr>
          <w:p>
            <w:pPr>
              <w:spacing w:line="360" w:lineRule="auto"/>
              <w:jc w:val="center"/>
              <w:rPr>
                <w:rFonts w:ascii="仿宋" w:hAnsi="仿宋" w:eastAsia="仿宋" w:cs="微软雅黑"/>
                <w:b/>
                <w:bCs/>
                <w:sz w:val="24"/>
              </w:rPr>
            </w:pPr>
            <w:r>
              <w:rPr>
                <w:rFonts w:hint="eastAsia" w:ascii="仿宋" w:hAnsi="仿宋" w:eastAsia="仿宋" w:cs="微软雅黑"/>
                <w:b/>
                <w:bCs/>
                <w:sz w:val="24"/>
              </w:rPr>
              <w:t>地址</w:t>
            </w:r>
          </w:p>
        </w:tc>
        <w:tc>
          <w:tcPr>
            <w:tcW w:w="6520" w:type="dxa"/>
            <w:gridSpan w:val="6"/>
          </w:tcPr>
          <w:p>
            <w:pPr>
              <w:spacing w:line="360" w:lineRule="auto"/>
              <w:jc w:val="center"/>
              <w:rPr>
                <w:rFonts w:ascii="仿宋" w:hAnsi="仿宋" w:eastAsia="仿宋" w:cs="微软雅黑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  <w:gridSpan w:val="2"/>
          </w:tcPr>
          <w:p>
            <w:pPr>
              <w:spacing w:line="360" w:lineRule="auto"/>
              <w:jc w:val="center"/>
              <w:rPr>
                <w:rFonts w:ascii="仿宋" w:hAnsi="仿宋" w:eastAsia="仿宋" w:cs="微软雅黑"/>
                <w:b/>
                <w:bCs/>
                <w:sz w:val="24"/>
              </w:rPr>
            </w:pPr>
            <w:r>
              <w:rPr>
                <w:rFonts w:hint="eastAsia" w:ascii="仿宋" w:hAnsi="仿宋" w:eastAsia="仿宋" w:cs="微软雅黑"/>
                <w:b/>
                <w:bCs/>
                <w:sz w:val="24"/>
              </w:rPr>
              <w:t>申请人</w:t>
            </w:r>
          </w:p>
        </w:tc>
        <w:tc>
          <w:tcPr>
            <w:tcW w:w="2268" w:type="dxa"/>
            <w:gridSpan w:val="2"/>
          </w:tcPr>
          <w:p>
            <w:pPr>
              <w:spacing w:line="360" w:lineRule="auto"/>
              <w:jc w:val="center"/>
              <w:rPr>
                <w:rFonts w:ascii="仿宋" w:hAnsi="仿宋" w:eastAsia="仿宋" w:cs="微软雅黑"/>
                <w:b/>
                <w:bCs/>
                <w:sz w:val="24"/>
              </w:rPr>
            </w:pPr>
          </w:p>
        </w:tc>
        <w:tc>
          <w:tcPr>
            <w:tcW w:w="1725" w:type="dxa"/>
            <w:gridSpan w:val="2"/>
          </w:tcPr>
          <w:p>
            <w:pPr>
              <w:spacing w:line="360" w:lineRule="auto"/>
              <w:jc w:val="center"/>
              <w:rPr>
                <w:rFonts w:ascii="仿宋" w:hAnsi="仿宋" w:eastAsia="仿宋" w:cs="微软雅黑"/>
                <w:b/>
                <w:bCs/>
                <w:sz w:val="24"/>
              </w:rPr>
            </w:pPr>
            <w:r>
              <w:rPr>
                <w:rFonts w:hint="eastAsia" w:ascii="仿宋" w:hAnsi="仿宋" w:eastAsia="仿宋" w:cs="微软雅黑"/>
                <w:b/>
                <w:bCs/>
                <w:sz w:val="24"/>
              </w:rPr>
              <w:t>联系电话</w:t>
            </w:r>
          </w:p>
        </w:tc>
        <w:tc>
          <w:tcPr>
            <w:tcW w:w="2527" w:type="dxa"/>
            <w:gridSpan w:val="2"/>
          </w:tcPr>
          <w:p>
            <w:pPr>
              <w:spacing w:line="360" w:lineRule="auto"/>
              <w:jc w:val="center"/>
              <w:rPr>
                <w:rFonts w:ascii="仿宋" w:hAnsi="仿宋" w:eastAsia="仿宋" w:cs="微软雅黑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  <w:gridSpan w:val="2"/>
          </w:tcPr>
          <w:p>
            <w:pPr>
              <w:spacing w:line="360" w:lineRule="auto"/>
              <w:jc w:val="center"/>
              <w:rPr>
                <w:rFonts w:ascii="仿宋" w:hAnsi="仿宋" w:eastAsia="仿宋" w:cs="微软雅黑"/>
                <w:b/>
                <w:bCs/>
                <w:sz w:val="24"/>
              </w:rPr>
            </w:pPr>
            <w:r>
              <w:rPr>
                <w:rFonts w:hint="eastAsia" w:ascii="仿宋" w:hAnsi="仿宋" w:eastAsia="仿宋" w:cs="微软雅黑"/>
                <w:b/>
                <w:bCs/>
                <w:sz w:val="24"/>
              </w:rPr>
              <w:t>职称</w:t>
            </w:r>
          </w:p>
        </w:tc>
        <w:tc>
          <w:tcPr>
            <w:tcW w:w="2268" w:type="dxa"/>
            <w:gridSpan w:val="2"/>
          </w:tcPr>
          <w:p>
            <w:pPr>
              <w:spacing w:line="360" w:lineRule="auto"/>
              <w:jc w:val="center"/>
              <w:rPr>
                <w:rFonts w:ascii="仿宋" w:hAnsi="仿宋" w:eastAsia="仿宋" w:cs="微软雅黑"/>
                <w:b/>
                <w:bCs/>
                <w:sz w:val="24"/>
              </w:rPr>
            </w:pPr>
          </w:p>
        </w:tc>
        <w:tc>
          <w:tcPr>
            <w:tcW w:w="1725" w:type="dxa"/>
            <w:gridSpan w:val="2"/>
          </w:tcPr>
          <w:p>
            <w:pPr>
              <w:spacing w:line="360" w:lineRule="auto"/>
              <w:jc w:val="center"/>
              <w:rPr>
                <w:rFonts w:ascii="仿宋" w:hAnsi="仿宋" w:eastAsia="仿宋" w:cs="微软雅黑"/>
                <w:b/>
                <w:bCs/>
                <w:sz w:val="24"/>
              </w:rPr>
            </w:pPr>
            <w:r>
              <w:rPr>
                <w:rFonts w:hint="eastAsia" w:ascii="仿宋" w:hAnsi="仿宋" w:eastAsia="仿宋" w:cs="微软雅黑"/>
                <w:b/>
                <w:bCs/>
                <w:sz w:val="24"/>
              </w:rPr>
              <w:t>邮箱</w:t>
            </w:r>
          </w:p>
        </w:tc>
        <w:tc>
          <w:tcPr>
            <w:tcW w:w="2527" w:type="dxa"/>
            <w:gridSpan w:val="2"/>
          </w:tcPr>
          <w:p>
            <w:pPr>
              <w:spacing w:line="360" w:lineRule="auto"/>
              <w:jc w:val="center"/>
              <w:rPr>
                <w:rFonts w:ascii="仿宋" w:hAnsi="仿宋" w:eastAsia="仿宋" w:cs="微软雅黑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42" w:type="dxa"/>
            <w:gridSpan w:val="8"/>
            <w:shd w:val="clear" w:color="auto" w:fill="D8D8D8" w:themeFill="background1" w:themeFillShade="D9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微软雅黑"/>
                <w:b/>
                <w:bCs/>
                <w:sz w:val="24"/>
              </w:rPr>
            </w:pPr>
            <w:r>
              <w:rPr>
                <w:rFonts w:hint="eastAsia" w:ascii="仿宋" w:hAnsi="仿宋" w:eastAsia="仿宋" w:cs="微软雅黑"/>
                <w:b/>
                <w:bCs/>
                <w:sz w:val="24"/>
              </w:rPr>
              <w:t>医院基本情况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exact"/>
        </w:trPr>
        <w:tc>
          <w:tcPr>
            <w:tcW w:w="8642" w:type="dxa"/>
            <w:gridSpan w:val="8"/>
          </w:tcPr>
          <w:p>
            <w:pPr>
              <w:adjustRightInd w:val="0"/>
              <w:snapToGrid w:val="0"/>
              <w:rPr>
                <w:rFonts w:ascii="仿宋" w:hAnsi="仿宋" w:eastAsia="仿宋" w:cs="微软雅黑"/>
                <w:b/>
                <w:bCs/>
                <w:szCs w:val="20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微软雅黑"/>
                <w:b/>
                <w:bCs/>
                <w:szCs w:val="20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微软雅黑"/>
                <w:b/>
                <w:bCs/>
                <w:szCs w:val="20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微软雅黑"/>
                <w:b/>
                <w:bCs/>
                <w:szCs w:val="20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微软雅黑"/>
                <w:b/>
                <w:bCs/>
                <w:szCs w:val="20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微软雅黑"/>
                <w:b/>
                <w:bCs/>
                <w:szCs w:val="20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微软雅黑"/>
                <w:b/>
                <w:bCs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642" w:type="dxa"/>
            <w:gridSpan w:val="8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仿宋" w:hAnsi="仿宋" w:eastAsia="仿宋" w:cs="微软雅黑"/>
                <w:b/>
                <w:bCs/>
                <w:sz w:val="24"/>
              </w:rPr>
            </w:pPr>
            <w:r>
              <w:rPr>
                <w:rFonts w:hint="eastAsia" w:ascii="仿宋" w:hAnsi="仿宋" w:eastAsia="仿宋" w:cs="微软雅黑"/>
                <w:b/>
                <w:bCs/>
                <w:sz w:val="24"/>
              </w:rPr>
              <w:t>科室基本情况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exact"/>
        </w:trPr>
        <w:tc>
          <w:tcPr>
            <w:tcW w:w="8642" w:type="dxa"/>
            <w:gridSpan w:val="8"/>
          </w:tcPr>
          <w:p>
            <w:pPr>
              <w:adjustRightInd w:val="0"/>
              <w:snapToGrid w:val="0"/>
              <w:rPr>
                <w:rFonts w:ascii="仿宋" w:hAnsi="仿宋" w:eastAsia="仿宋" w:cs="微软雅黑"/>
                <w:b/>
                <w:bCs/>
                <w:szCs w:val="20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微软雅黑"/>
                <w:b/>
                <w:bCs/>
                <w:szCs w:val="20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微软雅黑"/>
                <w:b/>
                <w:bCs/>
                <w:szCs w:val="20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8642" w:type="dxa"/>
            <w:gridSpan w:val="8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仿宋" w:hAnsi="仿宋" w:eastAsia="仿宋" w:cs="微软雅黑"/>
                <w:b/>
                <w:bCs/>
                <w:sz w:val="24"/>
              </w:rPr>
            </w:pPr>
            <w:r>
              <w:rPr>
                <w:rFonts w:hint="eastAsia" w:ascii="仿宋" w:hAnsi="仿宋" w:eastAsia="仿宋" w:cs="微软雅黑"/>
                <w:b/>
                <w:bCs/>
                <w:sz w:val="24"/>
              </w:rPr>
              <w:t>规范化脱敏诊疗中心科室建设情况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4106" w:type="dxa"/>
            <w:gridSpan w:val="3"/>
            <w:vAlign w:val="center"/>
          </w:tcPr>
          <w:p>
            <w:pPr>
              <w:pStyle w:val="7"/>
              <w:adjustRightInd w:val="0"/>
              <w:snapToGrid w:val="0"/>
              <w:ind w:firstLine="0" w:firstLineChars="0"/>
              <w:rPr>
                <w:rFonts w:ascii="仿宋" w:hAnsi="仿宋" w:eastAsia="仿宋" w:cs="微软雅黑"/>
                <w:sz w:val="24"/>
                <w:szCs w:val="24"/>
              </w:rPr>
            </w:pPr>
            <w:r>
              <w:rPr>
                <w:rFonts w:hint="eastAsia" w:ascii="仿宋" w:hAnsi="仿宋" w:eastAsia="仿宋" w:cs="微软雅黑"/>
                <w:sz w:val="24"/>
              </w:rPr>
              <w:t>是否</w:t>
            </w:r>
            <w:r>
              <w:rPr>
                <w:rFonts w:ascii="仿宋" w:hAnsi="仿宋" w:eastAsia="仿宋" w:cs="微软雅黑"/>
                <w:sz w:val="24"/>
              </w:rPr>
              <w:t>具备规范化脱敏中心治疗开展硬件设施</w:t>
            </w:r>
            <w:r>
              <w:rPr>
                <w:rFonts w:hint="eastAsia" w:ascii="仿宋" w:hAnsi="仿宋" w:eastAsia="仿宋" w:cs="微软雅黑"/>
                <w:sz w:val="24"/>
                <w:szCs w:val="24"/>
              </w:rPr>
              <w:t>，并简要介绍。</w:t>
            </w:r>
          </w:p>
        </w:tc>
        <w:tc>
          <w:tcPr>
            <w:tcW w:w="4536" w:type="dxa"/>
            <w:gridSpan w:val="5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4106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微软雅黑"/>
                <w:sz w:val="24"/>
              </w:rPr>
            </w:pPr>
            <w:r>
              <w:rPr>
                <w:rFonts w:hint="eastAsia" w:ascii="仿宋" w:hAnsi="仿宋" w:eastAsia="仿宋" w:cs="微软雅黑"/>
                <w:sz w:val="24"/>
                <w:szCs w:val="24"/>
              </w:rPr>
              <w:t>是否具备专业脱敏治疗医师及专职护士团队，并简要介绍。</w:t>
            </w:r>
          </w:p>
        </w:tc>
        <w:tc>
          <w:tcPr>
            <w:tcW w:w="4536" w:type="dxa"/>
            <w:gridSpan w:val="5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4106" w:type="dxa"/>
            <w:gridSpan w:val="3"/>
            <w:vAlign w:val="center"/>
          </w:tcPr>
          <w:p>
            <w:pPr>
              <w:pStyle w:val="7"/>
              <w:adjustRightInd w:val="0"/>
              <w:snapToGrid w:val="0"/>
              <w:ind w:firstLine="0" w:firstLineChars="0"/>
              <w:rPr>
                <w:rFonts w:ascii="仿宋" w:hAnsi="仿宋" w:eastAsia="仿宋" w:cs="微软雅黑"/>
                <w:sz w:val="24"/>
                <w:szCs w:val="24"/>
              </w:rPr>
            </w:pPr>
            <w:r>
              <w:rPr>
                <w:rFonts w:hint="eastAsia" w:ascii="仿宋" w:hAnsi="仿宋" w:eastAsia="仿宋" w:cs="微软雅黑"/>
                <w:sz w:val="24"/>
                <w:szCs w:val="24"/>
              </w:rPr>
              <w:t>目前建立了哪些</w:t>
            </w:r>
            <w:r>
              <w:rPr>
                <w:rFonts w:ascii="仿宋" w:hAnsi="仿宋" w:eastAsia="仿宋" w:cs="微软雅黑"/>
                <w:sz w:val="24"/>
                <w:szCs w:val="24"/>
              </w:rPr>
              <w:t>规范化脱敏治疗的诊疗流程</w:t>
            </w:r>
            <w:r>
              <w:rPr>
                <w:rFonts w:hint="eastAsia" w:ascii="仿宋" w:hAnsi="仿宋" w:eastAsia="仿宋" w:cs="微软雅黑"/>
                <w:sz w:val="24"/>
                <w:szCs w:val="24"/>
              </w:rPr>
              <w:t>。</w:t>
            </w:r>
          </w:p>
        </w:tc>
        <w:tc>
          <w:tcPr>
            <w:tcW w:w="4536" w:type="dxa"/>
            <w:gridSpan w:val="5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42" w:type="dxa"/>
            <w:gridSpan w:val="8"/>
            <w:shd w:val="clear" w:color="auto" w:fill="D8D8D8" w:themeFill="background1" w:themeFillShade="D9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 w:cs="微软雅黑"/>
                <w:b/>
                <w:bCs/>
                <w:sz w:val="24"/>
              </w:rPr>
            </w:pPr>
            <w:r>
              <w:rPr>
                <w:rFonts w:ascii="仿宋" w:hAnsi="仿宋" w:eastAsia="仿宋" w:cs="微软雅黑"/>
                <w:b/>
                <w:bCs/>
                <w:sz w:val="24"/>
              </w:rPr>
              <w:t>既往开展规范化脱敏治疗经验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4106" w:type="dxa"/>
            <w:gridSpan w:val="3"/>
            <w:vAlign w:val="center"/>
          </w:tcPr>
          <w:p>
            <w:pPr>
              <w:pStyle w:val="7"/>
              <w:adjustRightInd w:val="0"/>
              <w:snapToGrid w:val="0"/>
              <w:ind w:firstLine="0" w:firstLineChars="0"/>
              <w:rPr>
                <w:rFonts w:ascii="仿宋" w:hAnsi="仿宋" w:eastAsia="仿宋" w:cs="微软雅黑"/>
                <w:sz w:val="24"/>
              </w:rPr>
            </w:pPr>
            <w:r>
              <w:rPr>
                <w:rFonts w:hint="eastAsia" w:ascii="仿宋" w:hAnsi="仿宋" w:eastAsia="仿宋" w:cs="微软雅黑"/>
                <w:sz w:val="24"/>
              </w:rPr>
              <w:t>有效管理的接受脱敏治疗的患者数量</w:t>
            </w:r>
          </w:p>
        </w:tc>
        <w:tc>
          <w:tcPr>
            <w:tcW w:w="4536" w:type="dxa"/>
            <w:gridSpan w:val="5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4106" w:type="dxa"/>
            <w:gridSpan w:val="3"/>
            <w:vAlign w:val="center"/>
          </w:tcPr>
          <w:p>
            <w:pPr>
              <w:pStyle w:val="7"/>
              <w:adjustRightInd w:val="0"/>
              <w:snapToGrid w:val="0"/>
              <w:ind w:firstLine="0" w:firstLineChars="0"/>
              <w:rPr>
                <w:rFonts w:ascii="仿宋" w:hAnsi="仿宋" w:eastAsia="仿宋" w:cs="微软雅黑"/>
                <w:sz w:val="24"/>
              </w:rPr>
            </w:pPr>
            <w:r>
              <w:rPr>
                <w:rFonts w:ascii="仿宋" w:hAnsi="仿宋" w:eastAsia="仿宋" w:cs="微软雅黑"/>
                <w:sz w:val="24"/>
              </w:rPr>
              <w:t>科室规范化过敏原筛查患者数量</w:t>
            </w:r>
            <w:r>
              <w:rPr>
                <w:rFonts w:hint="eastAsia" w:ascii="仿宋" w:hAnsi="仿宋" w:eastAsia="仿宋" w:cs="微软雅黑"/>
                <w:sz w:val="24"/>
              </w:rPr>
              <w:t>（每月）</w:t>
            </w:r>
          </w:p>
        </w:tc>
        <w:tc>
          <w:tcPr>
            <w:tcW w:w="4536" w:type="dxa"/>
            <w:gridSpan w:val="5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4106" w:type="dxa"/>
            <w:gridSpan w:val="3"/>
            <w:vAlign w:val="center"/>
          </w:tcPr>
          <w:p>
            <w:pPr>
              <w:pStyle w:val="7"/>
              <w:adjustRightInd w:val="0"/>
              <w:snapToGrid w:val="0"/>
              <w:ind w:firstLine="0" w:firstLineChars="0"/>
              <w:rPr>
                <w:rFonts w:ascii="仿宋" w:hAnsi="仿宋" w:eastAsia="仿宋" w:cs="微软雅黑"/>
                <w:sz w:val="24"/>
              </w:rPr>
            </w:pPr>
            <w:r>
              <w:rPr>
                <w:rFonts w:hint="eastAsia" w:ascii="仿宋" w:hAnsi="仿宋" w:eastAsia="仿宋" w:cs="微软雅黑"/>
                <w:sz w:val="24"/>
              </w:rPr>
              <w:t>是否</w:t>
            </w:r>
            <w:r>
              <w:rPr>
                <w:rFonts w:ascii="仿宋" w:hAnsi="仿宋" w:eastAsia="仿宋" w:cs="微软雅黑"/>
                <w:sz w:val="24"/>
              </w:rPr>
              <w:t>定期有效开展患者及看护者教育</w:t>
            </w:r>
            <w:r>
              <w:rPr>
                <w:rFonts w:hint="eastAsia" w:ascii="仿宋" w:hAnsi="仿宋" w:eastAsia="仿宋" w:cs="微软雅黑"/>
                <w:sz w:val="24"/>
              </w:rPr>
              <w:t>，并简要介绍。</w:t>
            </w:r>
          </w:p>
        </w:tc>
        <w:tc>
          <w:tcPr>
            <w:tcW w:w="4536" w:type="dxa"/>
            <w:gridSpan w:val="5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4106" w:type="dxa"/>
            <w:gridSpan w:val="3"/>
            <w:vAlign w:val="center"/>
          </w:tcPr>
          <w:p>
            <w:pPr>
              <w:pStyle w:val="7"/>
              <w:adjustRightInd w:val="0"/>
              <w:snapToGrid w:val="0"/>
              <w:ind w:firstLine="0" w:firstLineChars="0"/>
              <w:rPr>
                <w:rFonts w:ascii="仿宋" w:hAnsi="仿宋" w:eastAsia="仿宋" w:cs="微软雅黑"/>
                <w:sz w:val="24"/>
              </w:rPr>
            </w:pPr>
            <w:r>
              <w:rPr>
                <w:rFonts w:hint="eastAsia" w:ascii="仿宋" w:hAnsi="仿宋" w:eastAsia="仿宋" w:cs="微软雅黑"/>
                <w:sz w:val="24"/>
              </w:rPr>
              <w:t>是否</w:t>
            </w:r>
            <w:r>
              <w:rPr>
                <w:rFonts w:ascii="仿宋" w:hAnsi="仿宋" w:eastAsia="仿宋" w:cs="微软雅黑"/>
                <w:sz w:val="24"/>
              </w:rPr>
              <w:t>具有系统的患者随访管理流程</w:t>
            </w:r>
            <w:r>
              <w:rPr>
                <w:rFonts w:hint="eastAsia" w:ascii="仿宋" w:hAnsi="仿宋" w:eastAsia="仿宋" w:cs="微软雅黑"/>
                <w:sz w:val="24"/>
              </w:rPr>
              <w:t>，并简要介绍。</w:t>
            </w:r>
          </w:p>
        </w:tc>
        <w:tc>
          <w:tcPr>
            <w:tcW w:w="4536" w:type="dxa"/>
            <w:gridSpan w:val="5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42" w:type="dxa"/>
            <w:gridSpan w:val="8"/>
            <w:shd w:val="clear" w:color="auto" w:fill="D8D8D8" w:themeFill="background1" w:themeFillShade="D9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 w:cs="微软雅黑"/>
                <w:b/>
                <w:bCs/>
                <w:sz w:val="24"/>
              </w:rPr>
            </w:pPr>
            <w:r>
              <w:rPr>
                <w:rFonts w:ascii="仿宋" w:hAnsi="仿宋" w:eastAsia="仿宋" w:cs="微软雅黑"/>
                <w:b/>
                <w:bCs/>
                <w:sz w:val="24"/>
              </w:rPr>
              <w:t>专业</w:t>
            </w:r>
            <w:r>
              <w:rPr>
                <w:rFonts w:hint="eastAsia" w:ascii="仿宋" w:hAnsi="仿宋" w:eastAsia="仿宋" w:cs="微软雅黑"/>
                <w:b/>
                <w:bCs/>
                <w:sz w:val="24"/>
              </w:rPr>
              <w:t>脱敏</w:t>
            </w:r>
            <w:r>
              <w:rPr>
                <w:rFonts w:ascii="仿宋" w:hAnsi="仿宋" w:eastAsia="仿宋" w:cs="微软雅黑"/>
                <w:b/>
                <w:bCs/>
                <w:sz w:val="24"/>
              </w:rPr>
              <w:t>诊疗能力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4106" w:type="dxa"/>
            <w:gridSpan w:val="3"/>
            <w:vAlign w:val="center"/>
          </w:tcPr>
          <w:p>
            <w:pPr>
              <w:pStyle w:val="7"/>
              <w:adjustRightInd w:val="0"/>
              <w:snapToGrid w:val="0"/>
              <w:ind w:firstLine="0" w:firstLineChars="0"/>
              <w:rPr>
                <w:rFonts w:ascii="仿宋" w:hAnsi="仿宋" w:eastAsia="仿宋" w:cs="微软雅黑"/>
                <w:sz w:val="24"/>
              </w:rPr>
            </w:pPr>
            <w:r>
              <w:rPr>
                <w:rFonts w:hint="eastAsia" w:ascii="仿宋" w:hAnsi="仿宋" w:eastAsia="仿宋" w:cs="微软雅黑"/>
                <w:sz w:val="24"/>
              </w:rPr>
              <w:t>专职脱敏医生定期参加领域内会议进行学习交流情况，并简要介绍。</w:t>
            </w:r>
          </w:p>
        </w:tc>
        <w:tc>
          <w:tcPr>
            <w:tcW w:w="4536" w:type="dxa"/>
            <w:gridSpan w:val="5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4106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微软雅黑"/>
                <w:sz w:val="24"/>
              </w:rPr>
            </w:pPr>
            <w:r>
              <w:rPr>
                <w:rFonts w:hint="eastAsia" w:ascii="仿宋" w:hAnsi="仿宋" w:eastAsia="仿宋" w:cs="微软雅黑"/>
                <w:sz w:val="24"/>
              </w:rPr>
              <w:t>专职脱敏医生每周接诊门诊患者数量，并简要介绍。</w:t>
            </w:r>
          </w:p>
        </w:tc>
        <w:tc>
          <w:tcPr>
            <w:tcW w:w="4536" w:type="dxa"/>
            <w:gridSpan w:val="5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4106" w:type="dxa"/>
            <w:gridSpan w:val="3"/>
            <w:vAlign w:val="center"/>
          </w:tcPr>
          <w:p>
            <w:pPr>
              <w:pStyle w:val="7"/>
              <w:adjustRightInd w:val="0"/>
              <w:snapToGrid w:val="0"/>
              <w:ind w:firstLine="0" w:firstLineChars="0"/>
              <w:rPr>
                <w:rFonts w:ascii="仿宋" w:hAnsi="仿宋" w:eastAsia="仿宋" w:cs="微软雅黑"/>
                <w:sz w:val="24"/>
              </w:rPr>
            </w:pPr>
            <w:r>
              <w:rPr>
                <w:rFonts w:hint="eastAsia" w:ascii="仿宋" w:hAnsi="仿宋" w:eastAsia="仿宋" w:cs="微软雅黑"/>
                <w:sz w:val="24"/>
              </w:rPr>
              <w:t>专职护士具备标准化皮下脱敏治疗操作能力，并简要说明。</w:t>
            </w:r>
          </w:p>
        </w:tc>
        <w:tc>
          <w:tcPr>
            <w:tcW w:w="4536" w:type="dxa"/>
            <w:gridSpan w:val="5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42" w:type="dxa"/>
            <w:gridSpan w:val="8"/>
            <w:shd w:val="clear" w:color="auto" w:fill="D9D9D9"/>
            <w:vAlign w:val="center"/>
          </w:tcPr>
          <w:p>
            <w:pPr>
              <w:pStyle w:val="7"/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 w:cs="微软雅黑"/>
                <w:b/>
                <w:bCs/>
                <w:sz w:val="24"/>
              </w:rPr>
            </w:pPr>
            <w:r>
              <w:rPr>
                <w:rFonts w:hint="eastAsia" w:ascii="仿宋" w:hAnsi="仿宋" w:eastAsia="仿宋" w:cs="微软雅黑"/>
                <w:b/>
                <w:bCs/>
                <w:sz w:val="24"/>
              </w:rPr>
              <w:t>签字盖章栏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exact"/>
        </w:trPr>
        <w:tc>
          <w:tcPr>
            <w:tcW w:w="1696" w:type="dxa"/>
            <w:vAlign w:val="center"/>
          </w:tcPr>
          <w:p>
            <w:pPr>
              <w:pStyle w:val="7"/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 w:cs="微软雅黑"/>
                <w:sz w:val="24"/>
              </w:rPr>
            </w:pPr>
            <w:r>
              <w:rPr>
                <w:rFonts w:hint="eastAsia" w:ascii="仿宋" w:hAnsi="仿宋" w:eastAsia="仿宋" w:cs="微软雅黑"/>
                <w:sz w:val="24"/>
              </w:rPr>
              <w:t>申请人签字</w:t>
            </w:r>
          </w:p>
        </w:tc>
        <w:tc>
          <w:tcPr>
            <w:tcW w:w="6946" w:type="dxa"/>
            <w:gridSpan w:val="7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</w:rPr>
            </w:pPr>
          </w:p>
          <w:p>
            <w:pPr>
              <w:adjustRightInd w:val="0"/>
              <w:snapToGrid w:val="0"/>
              <w:jc w:val="right"/>
              <w:rPr>
                <w:rFonts w:ascii="仿宋" w:hAnsi="仿宋" w:eastAsia="仿宋"/>
              </w:rPr>
            </w:pPr>
          </w:p>
          <w:p>
            <w:pPr>
              <w:adjustRightInd w:val="0"/>
              <w:snapToGrid w:val="0"/>
              <w:ind w:firstLine="3780" w:firstLineChars="180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年 </w:t>
            </w:r>
            <w:r>
              <w:rPr>
                <w:rFonts w:ascii="仿宋" w:hAnsi="仿宋" w:eastAsia="仿宋"/>
              </w:rPr>
              <w:t xml:space="preserve">  </w:t>
            </w:r>
            <w:r>
              <w:rPr>
                <w:rFonts w:hint="eastAsia" w:ascii="仿宋" w:hAnsi="仿宋" w:eastAsia="仿宋"/>
              </w:rPr>
              <w:t xml:space="preserve">月 </w:t>
            </w:r>
            <w:r>
              <w:rPr>
                <w:rFonts w:ascii="仿宋" w:hAnsi="仿宋" w:eastAsia="仿宋"/>
              </w:rPr>
              <w:t xml:space="preserve">  </w:t>
            </w:r>
            <w:r>
              <w:rPr>
                <w:rFonts w:hint="eastAsia" w:ascii="仿宋" w:hAnsi="仿宋" w:eastAsia="仿宋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6" w:hRule="exact"/>
        </w:trPr>
        <w:tc>
          <w:tcPr>
            <w:tcW w:w="1696" w:type="dxa"/>
            <w:vAlign w:val="center"/>
          </w:tcPr>
          <w:p>
            <w:pPr>
              <w:pStyle w:val="7"/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 w:cs="微软雅黑"/>
                <w:sz w:val="24"/>
              </w:rPr>
            </w:pPr>
            <w:r>
              <w:rPr>
                <w:rFonts w:hint="eastAsia" w:ascii="仿宋" w:hAnsi="仿宋" w:eastAsia="仿宋" w:cs="微软雅黑"/>
                <w:sz w:val="24"/>
              </w:rPr>
              <w:t>单位意见</w:t>
            </w:r>
          </w:p>
          <w:p>
            <w:pPr>
              <w:pStyle w:val="7"/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 w:cs="微软雅黑"/>
                <w:sz w:val="24"/>
              </w:rPr>
            </w:pPr>
            <w:r>
              <w:rPr>
                <w:rFonts w:hint="eastAsia" w:ascii="仿宋" w:hAnsi="仿宋" w:eastAsia="仿宋" w:cs="微软雅黑"/>
                <w:sz w:val="24"/>
              </w:rPr>
              <w:t>（公章）</w:t>
            </w:r>
          </w:p>
        </w:tc>
        <w:tc>
          <w:tcPr>
            <w:tcW w:w="6946" w:type="dxa"/>
            <w:gridSpan w:val="7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</w:rPr>
            </w:pPr>
          </w:p>
          <w:p>
            <w:pPr>
              <w:adjustRightInd w:val="0"/>
              <w:snapToGrid w:val="0"/>
              <w:ind w:firstLine="3780" w:firstLineChars="180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年 </w:t>
            </w:r>
            <w:r>
              <w:rPr>
                <w:rFonts w:ascii="仿宋" w:hAnsi="仿宋" w:eastAsia="仿宋"/>
              </w:rPr>
              <w:t xml:space="preserve">  </w:t>
            </w:r>
            <w:r>
              <w:rPr>
                <w:rFonts w:hint="eastAsia" w:ascii="仿宋" w:hAnsi="仿宋" w:eastAsia="仿宋"/>
              </w:rPr>
              <w:t xml:space="preserve">月 </w:t>
            </w:r>
            <w:r>
              <w:rPr>
                <w:rFonts w:ascii="仿宋" w:hAnsi="仿宋" w:eastAsia="仿宋"/>
              </w:rPr>
              <w:t xml:space="preserve">  </w:t>
            </w:r>
            <w:r>
              <w:rPr>
                <w:rFonts w:hint="eastAsia" w:ascii="仿宋" w:hAnsi="仿宋" w:eastAsia="仿宋"/>
              </w:rPr>
              <w:t>日</w:t>
            </w:r>
          </w:p>
        </w:tc>
      </w:tr>
    </w:tbl>
    <w:p>
      <w:pPr>
        <w:rPr>
          <w:rFonts w:hint="eastAsia" w:ascii="仿宋" w:hAnsi="仿宋" w:eastAsia="仿宋"/>
          <w:lang w:eastAsia="zh-CN"/>
        </w:rPr>
      </w:pPr>
      <w:r>
        <w:rPr>
          <w:rFonts w:hint="eastAsia" w:ascii="仿宋" w:hAnsi="仿宋" w:eastAsia="仿宋"/>
        </w:rPr>
        <w:t>注：本表正反打印，一式两份，申请人分别提交电子档及盖章扫描件至</w:t>
      </w:r>
      <w:r>
        <w:rPr>
          <w:rFonts w:ascii="仿宋" w:hAnsi="仿宋" w:eastAsia="仿宋"/>
        </w:rPr>
        <w:t>xsky@znsjjh.com</w:t>
      </w:r>
      <w:r>
        <w:rPr>
          <w:rFonts w:hint="eastAsia" w:ascii="仿宋" w:hAnsi="仿宋" w:eastAsia="仿宋"/>
        </w:rPr>
        <w:t>，原件待立项后连同</w:t>
      </w:r>
      <w:r>
        <w:rPr>
          <w:rFonts w:ascii="仿宋" w:hAnsi="仿宋" w:eastAsia="仿宋"/>
        </w:rPr>
        <w:t>补充证明材料</w:t>
      </w:r>
      <w:r>
        <w:rPr>
          <w:rFonts w:hint="eastAsia" w:ascii="仿宋" w:hAnsi="仿宋" w:eastAsia="仿宋"/>
        </w:rPr>
        <w:t>统一邮寄至基金会地址</w:t>
      </w:r>
      <w:r>
        <w:rPr>
          <w:rFonts w:hint="eastAsia" w:ascii="仿宋" w:hAnsi="仿宋" w:eastAsia="仿宋"/>
          <w:lang w:eastAsia="zh-CN"/>
        </w:rPr>
        <w:t>。</w:t>
      </w:r>
    </w:p>
    <w:p>
      <w:pPr>
        <w:spacing w:line="360" w:lineRule="auto"/>
        <w:ind w:firstLine="3840" w:firstLineChars="1600"/>
        <w:jc w:val="left"/>
        <w:rPr>
          <w:rFonts w:hint="eastAsia" w:ascii="仿宋" w:hAnsi="仿宋" w:eastAsia="仿宋" w:cs="仿宋"/>
          <w:sz w:val="24"/>
          <w:szCs w:val="24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right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4Yzg5NTVlNTA3OTdlNjBhYWRlZTU1MDgzYzJhODcifQ=="/>
  </w:docVars>
  <w:rsids>
    <w:rsidRoot w:val="6BAB005F"/>
    <w:rsid w:val="6BAB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2023-06-25T02:03:00Z</dcterms:created>
  <dc:creator>星</dc:creator>
  <cp:lastModifiedBy>星</cp:lastModifiedBy>
  <dcterms:modified xsi:type="dcterms:W3CDTF">2023-06-25T02:04:41Z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35B397B43EF940538970557A1FE8D9C1_11</vt:lpwstr>
  </property>
</Properties>
</file>